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2" w:rsidRDefault="007D17C2"/>
    <w:p w:rsidR="00E73688" w:rsidRPr="004D1D76" w:rsidRDefault="00E73688" w:rsidP="00E73688">
      <w:pPr>
        <w:tabs>
          <w:tab w:val="left" w:pos="1305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iCs/>
        </w:rPr>
      </w:pPr>
      <w:r w:rsidRPr="004D1D76">
        <w:rPr>
          <w:rFonts w:ascii="Calibri Light" w:eastAsia="Times New Roman" w:hAnsi="Calibri Light" w:cs="Calibri Light"/>
          <w:b/>
          <w:iCs/>
        </w:rPr>
        <w:t xml:space="preserve">Załącznik  nr 2 do SWZ </w:t>
      </w:r>
    </w:p>
    <w:p w:rsidR="00E73688" w:rsidRPr="00636C74" w:rsidRDefault="00E73688" w:rsidP="00E73688">
      <w:pPr>
        <w:tabs>
          <w:tab w:val="left" w:pos="1305"/>
        </w:tabs>
        <w:spacing w:after="0" w:line="240" w:lineRule="auto"/>
        <w:jc w:val="right"/>
        <w:rPr>
          <w:rFonts w:ascii="Cambria" w:eastAsia="Times New Roman" w:hAnsi="Cambria" w:cs="Tahoma"/>
          <w:b/>
          <w:iCs/>
          <w:sz w:val="18"/>
        </w:rPr>
      </w:pPr>
      <w:r>
        <w:rPr>
          <w:rFonts w:ascii="Calibri Light" w:hAnsi="Calibri Light" w:cs="Calibri Light"/>
          <w:b/>
          <w:i/>
        </w:rPr>
        <w:t xml:space="preserve">                          </w:t>
      </w:r>
      <w:r w:rsidR="00636C74">
        <w:rPr>
          <w:rFonts w:ascii="Calibri Light" w:hAnsi="Calibri Light" w:cs="Calibri Light"/>
          <w:b/>
          <w:i/>
        </w:rPr>
        <w:t xml:space="preserve">          </w:t>
      </w:r>
      <w:bookmarkStart w:id="0" w:name="_GoBack"/>
      <w:bookmarkEnd w:id="0"/>
      <w:r w:rsidRPr="00636C74">
        <w:rPr>
          <w:rFonts w:ascii="Calibri Light" w:hAnsi="Calibri Light" w:cs="Calibri Light"/>
          <w:b/>
          <w:i/>
          <w:sz w:val="18"/>
        </w:rPr>
        <w:t>Zmiana nr 1</w:t>
      </w:r>
      <w:r w:rsidRPr="00636C74">
        <w:rPr>
          <w:rFonts w:ascii="Calibri Light" w:hAnsi="Calibri Light" w:cs="Calibri Light"/>
          <w:b/>
          <w:i/>
          <w:sz w:val="20"/>
          <w:szCs w:val="24"/>
        </w:rPr>
        <w:t xml:space="preserve"> z dnia 30.11.2021 r.</w:t>
      </w:r>
      <w:r w:rsidRPr="00636C74">
        <w:rPr>
          <w:rFonts w:ascii="Calibri Light" w:hAnsi="Calibri Light" w:cs="Calibri Light"/>
          <w:b/>
          <w:i/>
          <w:sz w:val="18"/>
          <w:szCs w:val="20"/>
        </w:rPr>
        <w:tab/>
      </w:r>
    </w:p>
    <w:p w:rsidR="00E73688" w:rsidRPr="00E36803" w:rsidRDefault="00E73688" w:rsidP="00E73688">
      <w:pPr>
        <w:spacing w:after="0" w:line="240" w:lineRule="auto"/>
        <w:rPr>
          <w:rFonts w:ascii="Cambria" w:hAnsi="Cambria" w:cs="Calibri"/>
          <w:b/>
          <w:u w:val="double"/>
        </w:rPr>
      </w:pPr>
    </w:p>
    <w:p w:rsidR="00E73688" w:rsidRPr="00322FBD" w:rsidRDefault="00E73688" w:rsidP="00E73688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  <w:u w:val="single"/>
        </w:rPr>
      </w:pPr>
      <w:r w:rsidRPr="00322FBD">
        <w:rPr>
          <w:rFonts w:ascii="Calibri Light" w:hAnsi="Calibri Light" w:cs="Calibri Light"/>
          <w:b/>
          <w:bCs/>
          <w:color w:val="auto"/>
          <w:sz w:val="22"/>
          <w:szCs w:val="22"/>
          <w:u w:val="single"/>
        </w:rPr>
        <w:t>Zestawienie parametrów technicznych, warunków gwarancji oraz szkoleń</w:t>
      </w:r>
    </w:p>
    <w:p w:rsidR="00E73688" w:rsidRPr="00322FBD" w:rsidRDefault="00E73688" w:rsidP="00E73688">
      <w:pPr>
        <w:spacing w:after="0" w:line="240" w:lineRule="auto"/>
        <w:jc w:val="center"/>
        <w:rPr>
          <w:rFonts w:ascii="Cambria" w:hAnsi="Cambria" w:cs="Calibri"/>
          <w:b/>
          <w:bCs/>
          <w:u w:val="single"/>
        </w:rPr>
      </w:pPr>
    </w:p>
    <w:p w:rsidR="00E73688" w:rsidRPr="009F1EDF" w:rsidRDefault="00E73688" w:rsidP="00E73688">
      <w:pPr>
        <w:pStyle w:val="Default"/>
        <w:spacing w:line="276" w:lineRule="auto"/>
        <w:ind w:left="851" w:hanging="851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2D1E1C">
        <w:rPr>
          <w:rFonts w:ascii="Calibri Light" w:eastAsia="Times New Roman" w:hAnsi="Calibri Light" w:cs="Calibri Light"/>
          <w:b/>
          <w:iCs/>
          <w:color w:val="auto"/>
          <w:sz w:val="22"/>
          <w:szCs w:val="22"/>
        </w:rPr>
        <w:t xml:space="preserve">Dotyczy: </w:t>
      </w:r>
      <w:r w:rsidRPr="009F1EDF">
        <w:rPr>
          <w:rFonts w:ascii="Calibri Light" w:hAnsi="Calibri Light" w:cs="Calibri Light"/>
          <w:b/>
          <w:color w:val="auto"/>
          <w:sz w:val="22"/>
          <w:szCs w:val="22"/>
        </w:rPr>
        <w:t>Postępowanie o udzielenie zamówienia publicznego prowadzonego w trybie podstawowym bez przeprowadzenia negocjacji o wartości do 214 000 euro na dostawę sprzętu medycznego dla Samorządowej Przychodni Zdrowia w Tuszynie.</w:t>
      </w:r>
    </w:p>
    <w:p w:rsidR="00E73688" w:rsidRDefault="00E73688" w:rsidP="00E73688">
      <w:pPr>
        <w:tabs>
          <w:tab w:val="left" w:pos="1305"/>
        </w:tabs>
        <w:spacing w:after="0" w:line="240" w:lineRule="auto"/>
        <w:rPr>
          <w:rFonts w:ascii="Cambria" w:eastAsia="Times New Roman" w:hAnsi="Cambria" w:cs="Tahoma"/>
          <w:b/>
          <w:iCs/>
        </w:rPr>
      </w:pPr>
    </w:p>
    <w:p w:rsidR="00E73688" w:rsidRPr="002D1E1C" w:rsidRDefault="00E73688" w:rsidP="00E73688">
      <w:pPr>
        <w:jc w:val="both"/>
        <w:rPr>
          <w:rFonts w:ascii="Calibri Light" w:hAnsi="Calibri Light" w:cs="Calibri Light"/>
          <w:b/>
          <w:bCs/>
          <w:u w:val="single"/>
        </w:rPr>
      </w:pPr>
      <w:r w:rsidRPr="002D1E1C">
        <w:rPr>
          <w:rFonts w:ascii="Calibri Light" w:hAnsi="Calibri Light" w:cs="Calibri Light"/>
          <w:b/>
          <w:bCs/>
          <w:u w:val="single"/>
        </w:rPr>
        <w:t xml:space="preserve">Uwaga: </w:t>
      </w:r>
    </w:p>
    <w:p w:rsidR="00E73688" w:rsidRPr="00DC17BB" w:rsidRDefault="00E73688" w:rsidP="00E73688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70C0"/>
          <w:sz w:val="18"/>
          <w:u w:val="single"/>
        </w:rPr>
      </w:pPr>
      <w:r w:rsidRPr="00DC17BB">
        <w:rPr>
          <w:rFonts w:ascii="Calibri Light" w:hAnsi="Calibri Light" w:cs="Calibri Light"/>
          <w:b/>
          <w:bCs/>
          <w:color w:val="0070C0"/>
          <w:sz w:val="18"/>
          <w:u w:val="single"/>
        </w:rPr>
        <w:t>Zamawiający dopuszcza modyfikację przedmiotowego załącznika tylko w zakresie usunięcia Pakietów na które Wykonawca nie składa oferty.</w:t>
      </w:r>
    </w:p>
    <w:p w:rsidR="00E73688" w:rsidRPr="00DC17BB" w:rsidRDefault="00E73688" w:rsidP="00E73688">
      <w:pPr>
        <w:spacing w:after="0" w:line="240" w:lineRule="auto"/>
        <w:jc w:val="both"/>
        <w:rPr>
          <w:rFonts w:ascii="Calibri Light" w:hAnsi="Calibri Light" w:cs="Calibri Light"/>
          <w:sz w:val="20"/>
        </w:rPr>
      </w:pPr>
    </w:p>
    <w:p w:rsidR="00E73688" w:rsidRPr="002D1E1C" w:rsidRDefault="00E73688" w:rsidP="00E73688">
      <w:pPr>
        <w:spacing w:after="0" w:line="240" w:lineRule="auto"/>
        <w:jc w:val="both"/>
        <w:rPr>
          <w:rFonts w:ascii="Calibri Light" w:hAnsi="Calibri Light" w:cs="Calibri Light"/>
        </w:rPr>
      </w:pPr>
      <w:r w:rsidRPr="002D1E1C">
        <w:rPr>
          <w:rFonts w:ascii="Calibri Light" w:hAnsi="Calibri Light" w:cs="Calibri Light"/>
        </w:rPr>
        <w:t>Wymogiem jest, aby wartości podane w kolumnie „odpowiedź wykonawcy” były zgodne ze stanem faktycznym oraz danymi zawartymi w oficjalnym dokumencie przedstawiającym dane techniczne (np. katalog). Zamawiający ma prawo wystąpić do wykonawców o udzielenie dalszych wyjaśnień niezbędnych dla weryfikacji udzielonych odpowiedzi.</w:t>
      </w:r>
    </w:p>
    <w:p w:rsidR="00E73688" w:rsidRPr="00DC17BB" w:rsidRDefault="00E73688" w:rsidP="00E73688">
      <w:pPr>
        <w:keepNext/>
        <w:spacing w:after="0" w:line="240" w:lineRule="auto"/>
        <w:outlineLvl w:val="1"/>
        <w:rPr>
          <w:rFonts w:ascii="Calibri Light" w:hAnsi="Calibri Light" w:cs="Calibri Light"/>
          <w:b/>
          <w:sz w:val="18"/>
        </w:rPr>
      </w:pPr>
    </w:p>
    <w:tbl>
      <w:tblPr>
        <w:tblW w:w="479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63"/>
        <w:gridCol w:w="4050"/>
        <w:gridCol w:w="25"/>
        <w:gridCol w:w="1744"/>
        <w:gridCol w:w="11"/>
        <w:gridCol w:w="19"/>
        <w:gridCol w:w="25"/>
        <w:gridCol w:w="53"/>
        <w:gridCol w:w="2270"/>
      </w:tblGrid>
      <w:tr w:rsidR="00E73688" w:rsidRPr="004B0B3D" w:rsidTr="00270BED">
        <w:trPr>
          <w:cantSplit/>
          <w:trHeight w:val="430"/>
        </w:trPr>
        <w:tc>
          <w:tcPr>
            <w:tcW w:w="2651" w:type="pct"/>
            <w:gridSpan w:val="4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Opis minimalnych parametrów technicznych</w:t>
            </w:r>
          </w:p>
        </w:tc>
        <w:tc>
          <w:tcPr>
            <w:tcW w:w="1025" w:type="pct"/>
            <w:gridSpan w:val="4"/>
            <w:shd w:val="clear" w:color="auto" w:fill="D9D9D9"/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Parametry  i wartości wymagane/oceniane</w:t>
            </w:r>
          </w:p>
        </w:tc>
        <w:tc>
          <w:tcPr>
            <w:tcW w:w="1324" w:type="pct"/>
            <w:gridSpan w:val="2"/>
            <w:shd w:val="clear" w:color="auto" w:fill="D9D9D9"/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 xml:space="preserve">PARAMETRY OFEROWANE: Potwierdzenie Wykonawcy </w:t>
            </w:r>
          </w:p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TAK lub opis parametrów oferowanych/ podać zakresy/ opisać</w:t>
            </w:r>
          </w:p>
        </w:tc>
      </w:tr>
      <w:tr w:rsidR="00E73688" w:rsidRPr="004B0B3D" w:rsidTr="00270BED">
        <w:trPr>
          <w:cantSplit/>
          <w:trHeight w:val="404"/>
        </w:trPr>
        <w:tc>
          <w:tcPr>
            <w:tcW w:w="5000" w:type="pct"/>
            <w:gridSpan w:val="10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39615C">
              <w:rPr>
                <w:rFonts w:ascii="Calibri Light" w:hAnsi="Calibri Light" w:cs="Calibri Light"/>
                <w:b/>
                <w:bCs/>
                <w:sz w:val="18"/>
                <w:szCs w:val="20"/>
                <w:u w:val="single"/>
              </w:rPr>
              <w:t>Pakiet nr 3</w:t>
            </w:r>
          </w:p>
        </w:tc>
      </w:tr>
      <w:tr w:rsidR="00E73688" w:rsidRPr="004B0B3D" w:rsidTr="00270BED">
        <w:trPr>
          <w:cantSplit/>
          <w:trHeight w:val="404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 w:hanging="710"/>
              <w:jc w:val="center"/>
              <w:textAlignment w:val="baseline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Nazwa – Model/typ/numer katalogowy</w:t>
            </w:r>
          </w:p>
        </w:tc>
        <w:tc>
          <w:tcPr>
            <w:tcW w:w="101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PODAĆ</w:t>
            </w:r>
          </w:p>
        </w:tc>
        <w:tc>
          <w:tcPr>
            <w:tcW w:w="1349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E73688" w:rsidRPr="004B0B3D" w:rsidTr="00270BED">
        <w:trPr>
          <w:cantSplit/>
          <w:trHeight w:val="404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Producent</w:t>
            </w:r>
          </w:p>
        </w:tc>
        <w:tc>
          <w:tcPr>
            <w:tcW w:w="101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PODAĆ</w:t>
            </w:r>
          </w:p>
        </w:tc>
        <w:tc>
          <w:tcPr>
            <w:tcW w:w="1349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E73688" w:rsidRPr="004B0B3D" w:rsidTr="00270BED">
        <w:trPr>
          <w:cantSplit/>
          <w:trHeight w:val="404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 xml:space="preserve">Kraj pochodzenia </w:t>
            </w:r>
          </w:p>
        </w:tc>
        <w:tc>
          <w:tcPr>
            <w:tcW w:w="101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349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E73688" w:rsidRPr="004B0B3D" w:rsidTr="00270BED">
        <w:trPr>
          <w:cantSplit/>
          <w:trHeight w:val="404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Rok produkcji  min. 2021</w:t>
            </w:r>
          </w:p>
        </w:tc>
        <w:tc>
          <w:tcPr>
            <w:tcW w:w="101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PODAĆ</w:t>
            </w:r>
          </w:p>
        </w:tc>
        <w:tc>
          <w:tcPr>
            <w:tcW w:w="1349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E73688" w:rsidRPr="004B0B3D" w:rsidTr="00270BED">
        <w:trPr>
          <w:cantSplit/>
          <w:trHeight w:val="404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Klasa wyrobu medycznego</w:t>
            </w:r>
          </w:p>
        </w:tc>
        <w:tc>
          <w:tcPr>
            <w:tcW w:w="101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sz w:val="18"/>
                <w:szCs w:val="18"/>
              </w:rPr>
              <w:t>PODAĆ</w:t>
            </w:r>
          </w:p>
        </w:tc>
        <w:tc>
          <w:tcPr>
            <w:tcW w:w="1349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4B0B3D" w:rsidRDefault="00E73688" w:rsidP="00270BED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E73688" w:rsidRPr="00A1285C" w:rsidTr="00270BED">
        <w:trPr>
          <w:cantSplit/>
          <w:trHeight w:val="404"/>
        </w:trPr>
        <w:tc>
          <w:tcPr>
            <w:tcW w:w="5000" w:type="pct"/>
            <w:gridSpan w:val="10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A1285C" w:rsidRDefault="00E73688" w:rsidP="00270BE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1285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Aparat do terapii falami uderzeniowymi – 1 sztuka</w:t>
            </w:r>
          </w:p>
        </w:tc>
      </w:tr>
      <w:tr w:rsidR="00E73688" w:rsidRPr="00847AAF" w:rsidTr="00270BED">
        <w:trPr>
          <w:cantSplit/>
          <w:trHeight w:val="404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2D1E1C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>Ciśnienie do 1-5 barów</w:t>
            </w:r>
          </w:p>
        </w:tc>
        <w:tc>
          <w:tcPr>
            <w:tcW w:w="100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55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73688" w:rsidRPr="00847AAF" w:rsidTr="00270BED">
        <w:trPr>
          <w:cantSplit/>
          <w:trHeight w:val="392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0F59A7" w:rsidRDefault="00F13D81" w:rsidP="00F13D81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0F59A7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Częstotliwość do </w:t>
            </w:r>
            <w:r w:rsidR="00E73688" w:rsidRPr="000F59A7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25 </w:t>
            </w:r>
            <w:proofErr w:type="spellStart"/>
            <w:r w:rsidR="00E73688" w:rsidRPr="000F59A7">
              <w:rPr>
                <w:rFonts w:ascii="Calibri Light" w:hAnsi="Calibri Light" w:cs="Calibri Light"/>
                <w:i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00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55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73688" w:rsidRPr="00847AAF" w:rsidTr="00270BED">
        <w:trPr>
          <w:cantSplit/>
          <w:trHeight w:val="408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>Wyświetlacz LED</w:t>
            </w:r>
          </w:p>
        </w:tc>
        <w:tc>
          <w:tcPr>
            <w:tcW w:w="1008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55" w:type="pct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688" w:rsidRPr="00847AAF" w:rsidTr="00270BED">
        <w:trPr>
          <w:cantSplit/>
          <w:trHeight w:val="428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>Regulacja parametrów w trakcie terapii</w:t>
            </w:r>
          </w:p>
        </w:tc>
        <w:tc>
          <w:tcPr>
            <w:tcW w:w="1008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55" w:type="pct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E73688" w:rsidRPr="00847AAF" w:rsidTr="00270BED">
        <w:trPr>
          <w:cantSplit/>
          <w:trHeight w:val="516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 xml:space="preserve">Aplikator, uchwyt do aplikatora, przekaźniki fali uderzeniowej, zasilacz, stolik. </w:t>
            </w:r>
          </w:p>
        </w:tc>
        <w:tc>
          <w:tcPr>
            <w:tcW w:w="1008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55" w:type="pct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3688" w:rsidRPr="00847AAF" w:rsidTr="00270BED">
        <w:trPr>
          <w:cantSplit/>
          <w:trHeight w:val="404"/>
        </w:trPr>
        <w:tc>
          <w:tcPr>
            <w:tcW w:w="5000" w:type="pct"/>
            <w:gridSpan w:val="10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Aparat do terapii ultradźwiękami – 1 sztuka</w:t>
            </w:r>
          </w:p>
        </w:tc>
      </w:tr>
      <w:tr w:rsidR="00E73688" w:rsidRPr="00847AAF" w:rsidTr="00270BED">
        <w:trPr>
          <w:cantSplit/>
          <w:trHeight w:val="516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right="-398" w:hanging="71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 xml:space="preserve">Kolorowy ekran dotykowy min. 4.3″ </w:t>
            </w:r>
          </w:p>
        </w:tc>
        <w:tc>
          <w:tcPr>
            <w:tcW w:w="1025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8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3688" w:rsidRPr="00847AAF" w:rsidTr="00270BED">
        <w:trPr>
          <w:cantSplit/>
          <w:trHeight w:val="516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>Gotowe protokoły i encyklopedia terapeutyczna</w:t>
            </w:r>
          </w:p>
        </w:tc>
        <w:tc>
          <w:tcPr>
            <w:tcW w:w="1025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8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3688" w:rsidRPr="00847AAF" w:rsidTr="00270BED">
        <w:trPr>
          <w:cantSplit/>
          <w:trHeight w:val="516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 xml:space="preserve">Głowica z wizualną kontrolą kontaktu </w:t>
            </w:r>
          </w:p>
        </w:tc>
        <w:tc>
          <w:tcPr>
            <w:tcW w:w="1025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8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3688" w:rsidRPr="00847AAF" w:rsidTr="00270BED">
        <w:trPr>
          <w:cantSplit/>
          <w:trHeight w:val="516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>Głowica do ultradźwięków 5 cm2 (1 MHz, 3 MHz)</w:t>
            </w:r>
          </w:p>
        </w:tc>
        <w:tc>
          <w:tcPr>
            <w:tcW w:w="1025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8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847AAF" w:rsidRDefault="00E73688" w:rsidP="00270BE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3688" w:rsidRPr="00610038" w:rsidTr="00270BED">
        <w:trPr>
          <w:cantSplit/>
          <w:trHeight w:val="516"/>
        </w:trPr>
        <w:tc>
          <w:tcPr>
            <w:tcW w:w="2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E7368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4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847AAF" w:rsidRDefault="00E73688" w:rsidP="00270BE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sz w:val="18"/>
                <w:szCs w:val="18"/>
              </w:rPr>
              <w:t>Możliwość równoczesnej terapii częstotliwościami 1 MHz i 3 MHz (zmienne - auto 1/3 MHz)</w:t>
            </w:r>
          </w:p>
        </w:tc>
        <w:tc>
          <w:tcPr>
            <w:tcW w:w="1025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47AAF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8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688" w:rsidRPr="002D1E1C" w:rsidRDefault="00E73688" w:rsidP="00270BE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3688" w:rsidRPr="004B1D16" w:rsidTr="00270BE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E73688" w:rsidRPr="00A1285C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7030A0"/>
                <w:sz w:val="18"/>
                <w:szCs w:val="18"/>
              </w:rPr>
            </w:pPr>
            <w:r w:rsidRPr="00A1285C">
              <w:rPr>
                <w:rFonts w:ascii="Calibri Light" w:hAnsi="Calibri Light" w:cs="Calibri Light"/>
                <w:b/>
                <w:sz w:val="18"/>
                <w:szCs w:val="18"/>
              </w:rPr>
              <w:t>Warunki gwarancji, serwisu oraz szkoleń</w:t>
            </w:r>
          </w:p>
        </w:tc>
      </w:tr>
      <w:tr w:rsidR="00E73688" w:rsidRPr="004B1D16" w:rsidTr="00270BE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29" w:type="pct"/>
            <w:gridSpan w:val="2"/>
          </w:tcPr>
          <w:p w:rsidR="00E73688" w:rsidRPr="00A1285C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1285C">
              <w:rPr>
                <w:rFonts w:ascii="Calibri Light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:rsidR="00E73688" w:rsidRPr="00A1285C" w:rsidRDefault="00E73688" w:rsidP="00270BED">
            <w:pPr>
              <w:pStyle w:val="Bezodstpw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A1285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Okres gwarancji min. 24 miesiące, licząc od daty podpisania protokołu odbioru (podać liczbę miesięcy).</w:t>
            </w:r>
          </w:p>
        </w:tc>
        <w:tc>
          <w:tcPr>
            <w:tcW w:w="1055" w:type="pct"/>
            <w:gridSpan w:val="5"/>
            <w:shd w:val="clear" w:color="auto" w:fill="auto"/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Cs/>
                <w:sz w:val="18"/>
                <w:szCs w:val="18"/>
              </w:rPr>
              <w:t>TAK/PODAĆ</w:t>
            </w:r>
          </w:p>
          <w:p w:rsidR="00E73688" w:rsidRPr="004B0B3D" w:rsidRDefault="00E73688" w:rsidP="00270BED">
            <w:pPr>
              <w:keepNext/>
              <w:tabs>
                <w:tab w:val="left" w:pos="426"/>
                <w:tab w:val="left" w:pos="567"/>
              </w:tabs>
              <w:spacing w:after="0" w:line="240" w:lineRule="auto"/>
              <w:ind w:left="284"/>
              <w:jc w:val="center"/>
              <w:outlineLvl w:val="6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i/>
                <w:sz w:val="18"/>
                <w:szCs w:val="18"/>
              </w:rPr>
              <w:t>24 miesiące  – 0 pkt.</w:t>
            </w:r>
          </w:p>
          <w:p w:rsidR="00E73688" w:rsidRPr="004B0B3D" w:rsidRDefault="00E73688" w:rsidP="00270BED">
            <w:pPr>
              <w:keepNext/>
              <w:tabs>
                <w:tab w:val="left" w:pos="426"/>
                <w:tab w:val="left" w:pos="567"/>
              </w:tabs>
              <w:spacing w:after="0" w:line="240" w:lineRule="auto"/>
              <w:ind w:left="284"/>
              <w:jc w:val="center"/>
              <w:outlineLvl w:val="6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i/>
                <w:sz w:val="18"/>
                <w:szCs w:val="18"/>
              </w:rPr>
              <w:t>30 miesięcy  – 20 pkt.</w:t>
            </w:r>
          </w:p>
          <w:p w:rsidR="00E73688" w:rsidRPr="004B0B3D" w:rsidRDefault="00E73688" w:rsidP="00270BED">
            <w:pPr>
              <w:keepNext/>
              <w:tabs>
                <w:tab w:val="left" w:pos="426"/>
                <w:tab w:val="left" w:pos="567"/>
              </w:tabs>
              <w:spacing w:after="0" w:line="240" w:lineRule="auto"/>
              <w:ind w:left="284"/>
              <w:jc w:val="center"/>
              <w:outlineLvl w:val="6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i/>
                <w:sz w:val="18"/>
                <w:szCs w:val="18"/>
              </w:rPr>
              <w:t>36 miesięcy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i więcej</w:t>
            </w:r>
            <w:r w:rsidRPr="004B0B3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br/>
            </w:r>
            <w:r w:rsidRPr="004B0B3D">
              <w:rPr>
                <w:rFonts w:ascii="Calibri Light" w:hAnsi="Calibri Light" w:cs="Calibri Light"/>
                <w:i/>
                <w:sz w:val="18"/>
                <w:szCs w:val="18"/>
              </w:rPr>
              <w:t>– 40 pkt.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:rsidR="00E73688" w:rsidRPr="004B1D16" w:rsidRDefault="00E73688" w:rsidP="00270BED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E73688" w:rsidRPr="004B1D16" w:rsidTr="00270BE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29" w:type="pct"/>
            <w:gridSpan w:val="2"/>
          </w:tcPr>
          <w:p w:rsidR="00E73688" w:rsidRPr="00A1285C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1285C">
              <w:rPr>
                <w:rFonts w:ascii="Calibri Light" w:hAnsi="Calibri Light" w:cs="Calibri Light"/>
                <w:sz w:val="18"/>
                <w:szCs w:val="18"/>
              </w:rPr>
              <w:t>2.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:rsidR="00E73688" w:rsidRPr="00A1285C" w:rsidRDefault="00E73688" w:rsidP="00270BED">
            <w:pPr>
              <w:pStyle w:val="Bezodstpw"/>
              <w:jc w:val="both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A1285C">
              <w:rPr>
                <w:rFonts w:ascii="Calibri Light" w:hAnsi="Calibri Light" w:cs="Calibri Light"/>
                <w:bCs/>
                <w:sz w:val="18"/>
                <w:szCs w:val="18"/>
                <w:lang w:eastAsia="pl-PL"/>
              </w:rPr>
              <w:t>Szczegółowe warunki gwarancji zostaną określone w książkach gwarancyjnych urządzenia i winny  uwzględniać postanowienia warunków gwarancji, określone w niniejszym załączniku. Książki gwarancyjne zostaną przekazane przez Wykonawcę Zamawiającemu w dniu podpisania protokołu odbioru przedmiotu zamówienia.</w:t>
            </w:r>
          </w:p>
        </w:tc>
        <w:tc>
          <w:tcPr>
            <w:tcW w:w="1055" w:type="pct"/>
            <w:gridSpan w:val="5"/>
            <w:shd w:val="clear" w:color="auto" w:fill="auto"/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:rsidR="00E73688" w:rsidRPr="004B1D16" w:rsidRDefault="00E73688" w:rsidP="00270BED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E73688" w:rsidRPr="004B1D16" w:rsidTr="00270BE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29" w:type="pct"/>
            <w:gridSpan w:val="2"/>
          </w:tcPr>
          <w:p w:rsidR="00E73688" w:rsidRPr="00A1285C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1285C">
              <w:rPr>
                <w:rFonts w:ascii="Calibri Light" w:hAnsi="Calibri Light" w:cs="Calibri Light"/>
                <w:sz w:val="18"/>
                <w:szCs w:val="18"/>
              </w:rPr>
              <w:t>2.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:rsidR="00E73688" w:rsidRPr="00A1285C" w:rsidRDefault="00E73688" w:rsidP="00270BED">
            <w:pPr>
              <w:pStyle w:val="Bezodstpw"/>
              <w:jc w:val="both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A1285C">
              <w:rPr>
                <w:rFonts w:ascii="Calibri Light" w:hAnsi="Calibri Light" w:cs="Calibri Light"/>
                <w:bCs/>
                <w:sz w:val="18"/>
                <w:szCs w:val="18"/>
                <w:lang w:eastAsia="pl-PL"/>
              </w:rPr>
              <w:t>Koszty przeglądów, napraw gwarancyjnych i części podlegających wymianie, dojazdów do Zamawiającego oraz robocizny mające związek z wykonywaniem tych czynności w okresie gwarancyjnym ponosi Wykonawca.</w:t>
            </w:r>
          </w:p>
        </w:tc>
        <w:tc>
          <w:tcPr>
            <w:tcW w:w="1055" w:type="pct"/>
            <w:gridSpan w:val="5"/>
            <w:shd w:val="clear" w:color="auto" w:fill="auto"/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:rsidR="00E73688" w:rsidRPr="004B1D16" w:rsidRDefault="00E73688" w:rsidP="00270BED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E73688" w:rsidRPr="004B1D16" w:rsidTr="00270BE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29" w:type="pct"/>
            <w:gridSpan w:val="2"/>
          </w:tcPr>
          <w:p w:rsidR="00E73688" w:rsidRPr="00A1285C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1285C">
              <w:rPr>
                <w:rFonts w:ascii="Calibri Light" w:hAnsi="Calibri Light" w:cs="Calibri Light"/>
                <w:sz w:val="18"/>
                <w:szCs w:val="18"/>
              </w:rPr>
              <w:t>3.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:rsidR="00E73688" w:rsidRPr="00A1285C" w:rsidRDefault="00E73688" w:rsidP="00270BE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ar-SA"/>
              </w:rPr>
            </w:pPr>
            <w:r w:rsidRPr="00A1285C">
              <w:rPr>
                <w:rFonts w:ascii="Calibri Light" w:hAnsi="Calibri Light" w:cs="Calibri Light"/>
                <w:bCs/>
                <w:sz w:val="18"/>
                <w:szCs w:val="18"/>
                <w:lang w:eastAsia="ar-SA"/>
              </w:rPr>
              <w:t>W okresie gwarancji wszystkie przeglądy techniczne będą wykonywane w ramach zawartej umowy ( min. 2 ), gdzie pierwszy przegląd nie wcześniej niż po roku od instalacji, chyba, że producent wymaga wykonywania przeglądów w innych interwałach czasowych.</w:t>
            </w:r>
          </w:p>
        </w:tc>
        <w:tc>
          <w:tcPr>
            <w:tcW w:w="1055" w:type="pct"/>
            <w:gridSpan w:val="5"/>
            <w:shd w:val="clear" w:color="auto" w:fill="auto"/>
            <w:vAlign w:val="center"/>
          </w:tcPr>
          <w:p w:rsidR="00E73688" w:rsidRPr="004B0B3D" w:rsidRDefault="00E73688" w:rsidP="00270B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B3D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:rsidR="00E73688" w:rsidRPr="004B1D16" w:rsidRDefault="00E73688" w:rsidP="00270BED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</w:tbl>
    <w:p w:rsidR="00E73688" w:rsidRDefault="00E73688"/>
    <w:p w:rsidR="00E73688" w:rsidRDefault="00E73688"/>
    <w:p w:rsidR="00E73688" w:rsidRDefault="00E73688"/>
    <w:p w:rsidR="00E73688" w:rsidRDefault="00E73688"/>
    <w:sectPr w:rsidR="00E73688" w:rsidSect="00E736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89"/>
    <w:multiLevelType w:val="multilevel"/>
    <w:tmpl w:val="6A603F9E"/>
    <w:lvl w:ilvl="0">
      <w:start w:val="1"/>
      <w:numFmt w:val="decimal"/>
      <w:lvlText w:val="%1."/>
      <w:lvlJc w:val="left"/>
      <w:pPr>
        <w:ind w:left="710" w:hanging="284"/>
      </w:pPr>
      <w:rPr>
        <w:rFonts w:ascii="Calibri Light" w:hAnsi="Calibri Light" w:cs="Calibri Light" w:hint="default"/>
        <w:b w:val="0"/>
        <w:i w:val="0"/>
        <w:color w:val="auto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">
    <w:nsid w:val="5A233A08"/>
    <w:multiLevelType w:val="multilevel"/>
    <w:tmpl w:val="DFEE2CE4"/>
    <w:lvl w:ilvl="0">
      <w:start w:val="1"/>
      <w:numFmt w:val="decimal"/>
      <w:lvlText w:val="%1."/>
      <w:lvlJc w:val="left"/>
      <w:pPr>
        <w:ind w:left="710" w:hanging="284"/>
      </w:pPr>
      <w:rPr>
        <w:rFonts w:ascii="Calibri Light" w:hAnsi="Calibri Light" w:cs="Calibri Light" w:hint="default"/>
        <w:b w:val="0"/>
        <w:i w:val="0"/>
        <w:color w:val="auto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14"/>
    <w:rsid w:val="000F59A7"/>
    <w:rsid w:val="00636C74"/>
    <w:rsid w:val="007D17C2"/>
    <w:rsid w:val="00E73688"/>
    <w:rsid w:val="00F13D81"/>
    <w:rsid w:val="00F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6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7368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6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7368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Juszczak</dc:creator>
  <cp:keywords/>
  <dc:description/>
  <cp:lastModifiedBy>Kamila Juszczak</cp:lastModifiedBy>
  <cp:revision>6</cp:revision>
  <dcterms:created xsi:type="dcterms:W3CDTF">2021-11-30T09:02:00Z</dcterms:created>
  <dcterms:modified xsi:type="dcterms:W3CDTF">2021-11-30T09:08:00Z</dcterms:modified>
</cp:coreProperties>
</file>